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7EC13A82" w:rsidR="00F12308" w:rsidRPr="00E12ABB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E12ABB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F509B" w:rsidRPr="004F509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R4-2412070</w:t>
      </w:r>
    </w:p>
    <w:p w14:paraId="1CA4C602" w14:textId="71E0138A" w:rsidR="00F12308" w:rsidRPr="0040353F" w:rsidRDefault="004F509B" w:rsidP="00F12308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F509B">
        <w:rPr>
          <w:rFonts w:ascii="Arial" w:hAnsi="Arial" w:cs="Arial"/>
          <w:b/>
          <w:bCs/>
          <w:kern w:val="0"/>
          <w:sz w:val="22"/>
          <w:szCs w:val="20"/>
          <w:lang w:val="en-GB"/>
        </w:rPr>
        <w:t>Maastricht, Netherlands, 19th – 23rd August, 2024</w:t>
      </w:r>
    </w:p>
    <w:p w14:paraId="12113A91" w14:textId="77777777" w:rsidR="0040353F" w:rsidRPr="00F12308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AD91F5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F12308">
        <w:rPr>
          <w:rFonts w:ascii="Arial" w:hAnsi="Arial" w:cs="Arial" w:hint="eastAsia"/>
          <w:kern w:val="0"/>
          <w:sz w:val="22"/>
          <w:szCs w:val="20"/>
          <w:lang w:val="en-GB"/>
        </w:rPr>
        <w:t>the UE parameter</w:t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14800 to 15350 MHz</w:t>
      </w:r>
    </w:p>
    <w:p w14:paraId="76ECAF7E" w14:textId="2693B67D" w:rsidR="0040353F" w:rsidRPr="00E421E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F509B">
        <w:rPr>
          <w:rFonts w:ascii="Arial" w:hAnsi="Arial" w:cs="Arial" w:hint="eastAsia"/>
          <w:kern w:val="0"/>
          <w:sz w:val="22"/>
          <w:szCs w:val="20"/>
        </w:rPr>
        <w:t>8.2</w:t>
      </w:r>
      <w:r w:rsidR="00E421E0">
        <w:rPr>
          <w:rFonts w:ascii="Arial" w:hAnsi="Arial" w:cs="Arial" w:hint="eastAsia"/>
          <w:kern w:val="0"/>
          <w:sz w:val="22"/>
          <w:szCs w:val="20"/>
        </w:rPr>
        <w:t>.4</w:t>
      </w:r>
      <w:r w:rsidR="00AD4C49">
        <w:rPr>
          <w:rFonts w:ascii="Arial" w:hAnsi="Arial" w:cs="Arial" w:hint="eastAsia"/>
          <w:kern w:val="0"/>
          <w:sz w:val="22"/>
          <w:szCs w:val="20"/>
        </w:rPr>
        <w:t>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0F1114C9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the last meeting, the </w:t>
      </w:r>
      <w:r w:rsidR="00E12ABB">
        <w:rPr>
          <w:rFonts w:ascii="Times New Roman" w:hAnsi="Times New Roman" w:cs="Times New Roman" w:hint="eastAsia"/>
        </w:rPr>
        <w:t>co-existence assumption</w:t>
      </w:r>
      <w:r w:rsidR="00F12308">
        <w:rPr>
          <w:rFonts w:ascii="Times New Roman" w:hAnsi="Times New Roman" w:cs="Times New Roman" w:hint="eastAsia"/>
        </w:rPr>
        <w:t xml:space="preserve"> for </w:t>
      </w:r>
      <w:r w:rsidR="00F12308" w:rsidRPr="00F12308">
        <w:rPr>
          <w:rFonts w:ascii="Times New Roman" w:hAnsi="Times New Roman" w:cs="Times New Roman"/>
        </w:rPr>
        <w:t>14800 to 15350 MHz</w:t>
      </w:r>
      <w:r w:rsidR="00F12308">
        <w:rPr>
          <w:rFonts w:ascii="Times New Roman" w:hAnsi="Times New Roman" w:cs="Times New Roman" w:hint="eastAsia"/>
        </w:rPr>
        <w:t xml:space="preserve"> was </w:t>
      </w:r>
      <w:r w:rsidR="00E12ABB">
        <w:rPr>
          <w:rFonts w:ascii="Times New Roman" w:hAnsi="Times New Roman" w:cs="Times New Roman" w:hint="eastAsia"/>
        </w:rPr>
        <w:t>agreed</w:t>
      </w:r>
      <w:r w:rsidR="00F12308">
        <w:rPr>
          <w:rFonts w:ascii="Times New Roman" w:hAnsi="Times New Roman" w:cs="Times New Roman" w:hint="eastAsia"/>
        </w:rPr>
        <w:t xml:space="preserve"> but </w:t>
      </w:r>
      <w:r w:rsidR="00E12ABB">
        <w:rPr>
          <w:rFonts w:ascii="Times New Roman" w:hAnsi="Times New Roman" w:cs="Times New Roman" w:hint="eastAsia"/>
        </w:rPr>
        <w:t>the UE parameter</w:t>
      </w:r>
      <w:r w:rsidR="00F12308">
        <w:rPr>
          <w:rFonts w:ascii="Times New Roman" w:hAnsi="Times New Roman" w:cs="Times New Roman" w:hint="eastAsia"/>
        </w:rPr>
        <w:t xml:space="preserve"> </w:t>
      </w:r>
      <w:r w:rsidR="00E12ABB">
        <w:rPr>
          <w:rFonts w:ascii="Times New Roman" w:hAnsi="Times New Roman" w:cs="Times New Roman" w:hint="eastAsia"/>
        </w:rPr>
        <w:t>is not decided yet</w:t>
      </w:r>
      <w:r w:rsidR="00F12308">
        <w:rPr>
          <w:rFonts w:ascii="Times New Roman" w:hAnsi="Times New Roman" w:cs="Times New Roman" w:hint="eastAsia"/>
        </w:rPr>
        <w:t>, and related discussion point are recorded in [1]. In this contribution, we provide our views on these issues.</w:t>
      </w:r>
    </w:p>
    <w:p w14:paraId="3B5A2A9D" w14:textId="77777777" w:rsidR="00E14D9E" w:rsidRDefault="00E14D9E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1C5926F" w14:textId="77777777" w:rsidR="00E12ABB" w:rsidRPr="00E76234" w:rsidRDefault="00E12ABB" w:rsidP="00E12ABB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hannel bandwidth</w:t>
      </w:r>
    </w:p>
    <w:p w14:paraId="438F9DC4" w14:textId="77777777" w:rsidR="00E12ABB" w:rsidRDefault="00E12ABB" w:rsidP="00E12A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FR2, 200MHz is </w:t>
      </w:r>
      <w:r>
        <w:rPr>
          <w:rFonts w:ascii="Times New Roman" w:hAnsi="Times New Roman" w:cs="Times New Roman"/>
        </w:rPr>
        <w:t>mandatory</w:t>
      </w:r>
      <w:r>
        <w:rPr>
          <w:rFonts w:ascii="Times New Roman" w:hAnsi="Times New Roman" w:cs="Times New Roman" w:hint="eastAsia"/>
        </w:rPr>
        <w:t xml:space="preserve"> and 400MHz is optional, so it is </w:t>
      </w:r>
      <w:r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 w:hint="eastAsia"/>
        </w:rPr>
        <w:t xml:space="preserve"> that use 200MHz as a typical value.</w:t>
      </w:r>
    </w:p>
    <w:p w14:paraId="77A44257" w14:textId="77777777" w:rsidR="00E12ABB" w:rsidRDefault="00E12ABB" w:rsidP="00E12ABB">
      <w:pPr>
        <w:rPr>
          <w:rFonts w:ascii="Times New Roman" w:hAnsi="Times New Roman" w:cs="Times New Roman"/>
        </w:rPr>
      </w:pPr>
    </w:p>
    <w:p w14:paraId="7391F126" w14:textId="00431E72" w:rsidR="00E12ABB" w:rsidRDefault="00E12ABB" w:rsidP="00E12ABB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E76234">
        <w:rPr>
          <w:rFonts w:ascii="Times New Roman" w:hAnsi="Times New Roman" w:cs="Times New Roman" w:hint="eastAsia"/>
          <w:b/>
          <w:bCs/>
        </w:rPr>
        <w:t xml:space="preserve">: 200MHz </w:t>
      </w:r>
      <w:r>
        <w:rPr>
          <w:rFonts w:ascii="Times New Roman" w:hAnsi="Times New Roman" w:cs="Times New Roman" w:hint="eastAsia"/>
          <w:b/>
          <w:bCs/>
        </w:rPr>
        <w:t xml:space="preserve">is used as </w:t>
      </w:r>
      <w:r w:rsidRPr="00E76234">
        <w:rPr>
          <w:rFonts w:ascii="Times New Roman" w:hAnsi="Times New Roman" w:cs="Times New Roman" w:hint="eastAsia"/>
          <w:b/>
          <w:bCs/>
        </w:rPr>
        <w:t xml:space="preserve">typical channel bandwidth for </w:t>
      </w:r>
      <w:r w:rsidRPr="00E76234">
        <w:rPr>
          <w:rFonts w:ascii="Times New Roman" w:hAnsi="Times New Roman" w:cs="Times New Roman"/>
          <w:b/>
          <w:bCs/>
        </w:rPr>
        <w:t>14800 to 15350 MHz</w:t>
      </w:r>
      <w:r w:rsidRPr="00E76234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in the LS.</w:t>
      </w:r>
      <w:r w:rsidRPr="00E76234">
        <w:rPr>
          <w:rFonts w:ascii="Times New Roman" w:hAnsi="Times New Roman" w:cs="Times New Roman" w:hint="eastAsia"/>
          <w:b/>
          <w:bCs/>
        </w:rPr>
        <w:t xml:space="preserve"> </w:t>
      </w:r>
    </w:p>
    <w:p w14:paraId="0C218EE2" w14:textId="77777777" w:rsidR="00E12ABB" w:rsidRDefault="00E12ABB" w:rsidP="00E12ABB">
      <w:pPr>
        <w:rPr>
          <w:rFonts w:ascii="Times New Roman" w:hAnsi="Times New Roman" w:cs="Times New Roman"/>
          <w:b/>
          <w:bCs/>
        </w:rPr>
      </w:pPr>
    </w:p>
    <w:p w14:paraId="0D21A700" w14:textId="481E8B20" w:rsidR="00E14D9E" w:rsidRDefault="008834E4" w:rsidP="00E14D9E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UE </w:t>
      </w:r>
      <w:r w:rsidR="00E12ABB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form factor</w:t>
      </w:r>
      <w:r w:rsidR="00E14D9E" w:rsidRPr="000A24F2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</w:t>
      </w:r>
    </w:p>
    <w:p w14:paraId="7665F923" w14:textId="3CFDB5EC" w:rsidR="008834E4" w:rsidRDefault="008834E4" w:rsidP="008834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569837" wp14:editId="6DA9A6D8">
                <wp:simplePos x="0" y="0"/>
                <wp:positionH relativeFrom="column">
                  <wp:posOffset>-635</wp:posOffset>
                </wp:positionH>
                <wp:positionV relativeFrom="paragraph">
                  <wp:posOffset>154305</wp:posOffset>
                </wp:positionV>
                <wp:extent cx="5972175" cy="2140585"/>
                <wp:effectExtent l="0" t="0" r="28575" b="12065"/>
                <wp:wrapTopAndBottom/>
                <wp:docPr id="639591865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21405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DDA475" w14:textId="77777777" w:rsidR="008834E4" w:rsidRPr="008834E4" w:rsidRDefault="008834E4" w:rsidP="008834E4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Issue 3-1 Common understanding on UE antenna array options</w:t>
                            </w:r>
                          </w:p>
                          <w:p w14:paraId="61FAF33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1: “UE beamforming” (FR2 like)</w:t>
                            </w:r>
                          </w:p>
                          <w:p w14:paraId="7350A51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Assumed to be FR2 like UE, with two panels similar to Rel-14 NR study 38.803</w:t>
                            </w:r>
                          </w:p>
                          <w:p w14:paraId="77D9908F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Analogue like beamforming</w:t>
                            </w:r>
                          </w:p>
                          <w:p w14:paraId="708BA2E0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1a: 2x2 antennas per panel</w:t>
                            </w:r>
                          </w:p>
                          <w:p w14:paraId="37F45EFD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2: FR1 like</w:t>
                            </w:r>
                          </w:p>
                          <w:p w14:paraId="34ECF43D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Assumed to be FR1 like UE with more than one TX/RX antenna</w:t>
                            </w:r>
                          </w:p>
                          <w:p w14:paraId="0162AA5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Isotropic antennas</w:t>
                            </w:r>
                          </w:p>
                          <w:p w14:paraId="412CBD51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2a: 2 TX</w:t>
                            </w:r>
                          </w:p>
                          <w:p w14:paraId="6C67A8BC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2b: 4 TX</w:t>
                            </w:r>
                          </w:p>
                          <w:p w14:paraId="5FC13792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2c: 4 RX</w:t>
                            </w:r>
                          </w:p>
                          <w:p w14:paraId="127DBEDF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2d: 6 RX</w:t>
                            </w:r>
                          </w:p>
                          <w:p w14:paraId="7D103AE3" w14:textId="77777777" w:rsidR="008834E4" w:rsidRPr="008834E4" w:rsidRDefault="008834E4" w:rsidP="008834E4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8834E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Option 2e: 8 RX</w:t>
                            </w:r>
                          </w:p>
                          <w:p w14:paraId="0BC221EC" w14:textId="77777777" w:rsidR="008834E4" w:rsidRPr="008834E4" w:rsidRDefault="008834E4" w:rsidP="008834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69837" id="矩形 1" o:spid="_x0000_s1026" style="position:absolute;left:0;text-align:left;margin-left:-.05pt;margin-top:12.15pt;width:470.25pt;height:16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" filled="f" strokecolor="#4472c4 [3204]" strokeweight="1pt">
                <v:textbox>
                  <w:txbxContent>
                    <w:p w14:paraId="50DDA475" w14:textId="77777777" w:rsidR="008834E4" w:rsidRPr="008834E4" w:rsidRDefault="008834E4" w:rsidP="008834E4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  <w:t>Issue 3-1 Common understanding on UE antenna array options</w:t>
                      </w:r>
                    </w:p>
                    <w:p w14:paraId="61FAF33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1: “UE beamforming” (FR2 like)</w:t>
                      </w:r>
                    </w:p>
                    <w:p w14:paraId="7350A51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Assumed to be FR2 like UE, with two panels similar to Rel-14 NR study 38.803</w:t>
                      </w:r>
                    </w:p>
                    <w:p w14:paraId="77D9908F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u w:val="single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Analogue like beamforming</w:t>
                      </w:r>
                    </w:p>
                    <w:p w14:paraId="708BA2E0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1a: 2x2 antennas per panel</w:t>
                      </w:r>
                    </w:p>
                    <w:p w14:paraId="37F45EFD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2: FR1 like</w:t>
                      </w:r>
                    </w:p>
                    <w:p w14:paraId="34ECF43D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Assumed to be FR1 like UE with more than one TX/RX antenna</w:t>
                      </w:r>
                    </w:p>
                    <w:p w14:paraId="0162AA5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Isotropic antennas</w:t>
                      </w:r>
                    </w:p>
                    <w:p w14:paraId="412CBD51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2a: 2 TX</w:t>
                      </w:r>
                    </w:p>
                    <w:p w14:paraId="6C67A8BC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2b: 4 TX</w:t>
                      </w:r>
                    </w:p>
                    <w:p w14:paraId="5FC13792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2c: 4 RX</w:t>
                      </w:r>
                    </w:p>
                    <w:p w14:paraId="127DBEDF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2d: 6 RX</w:t>
                      </w:r>
                    </w:p>
                    <w:p w14:paraId="7D103AE3" w14:textId="77777777" w:rsidR="008834E4" w:rsidRPr="008834E4" w:rsidRDefault="008834E4" w:rsidP="008834E4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8834E4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Option 2e: 8 RX</w:t>
                      </w:r>
                    </w:p>
                    <w:p w14:paraId="0BC221EC" w14:textId="77777777" w:rsidR="008834E4" w:rsidRPr="008834E4" w:rsidRDefault="008834E4" w:rsidP="008834E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8834E4">
        <w:rPr>
          <w:rFonts w:ascii="Times New Roman" w:hAnsi="Times New Roman" w:cs="Times New Roman" w:hint="eastAsia"/>
        </w:rPr>
        <w:t xml:space="preserve">In [1], </w:t>
      </w:r>
      <w:r w:rsidR="00E12ABB">
        <w:rPr>
          <w:rFonts w:ascii="Times New Roman" w:hAnsi="Times New Roman" w:cs="Times New Roman" w:hint="eastAsia"/>
        </w:rPr>
        <w:t>two types of UE are agreed for co-existence evaluation</w:t>
      </w:r>
      <w:r w:rsidRPr="008834E4">
        <w:rPr>
          <w:rFonts w:ascii="Times New Roman" w:hAnsi="Times New Roman" w:cs="Times New Roman" w:hint="eastAsia"/>
        </w:rPr>
        <w:t>:</w:t>
      </w:r>
    </w:p>
    <w:p w14:paraId="5C3B70FD" w14:textId="77777777" w:rsidR="002919B2" w:rsidRDefault="002919B2" w:rsidP="008834E4">
      <w:pPr>
        <w:rPr>
          <w:rFonts w:ascii="Times New Roman" w:hAnsi="Times New Roman" w:cs="Times New Roman"/>
        </w:rPr>
      </w:pPr>
    </w:p>
    <w:p w14:paraId="50CAA7D0" w14:textId="77777777" w:rsidR="00E12ABB" w:rsidRDefault="00E12ABB" w:rsidP="008834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is quite </w:t>
      </w:r>
      <w:r>
        <w:rPr>
          <w:rFonts w:ascii="Times New Roman" w:hAnsi="Times New Roman" w:cs="Times New Roman"/>
        </w:rPr>
        <w:t>controversial</w:t>
      </w:r>
      <w:r>
        <w:rPr>
          <w:rFonts w:ascii="Times New Roman" w:hAnsi="Times New Roman" w:cs="Times New Roman" w:hint="eastAsia"/>
        </w:rPr>
        <w:t xml:space="preserve"> to decide the form factor of UE in this new frequency at this stage. In TR 38.820, similar discussion was happened </w:t>
      </w:r>
      <w:r>
        <w:rPr>
          <w:rFonts w:ascii="Times New Roman" w:hAnsi="Times New Roman" w:cs="Times New Roman"/>
        </w:rPr>
        <w:t>but, in the end,</w:t>
      </w:r>
      <w:r>
        <w:rPr>
          <w:rFonts w:ascii="Times New Roman" w:hAnsi="Times New Roman" w:cs="Times New Roman" w:hint="eastAsia"/>
        </w:rPr>
        <w:t xml:space="preserve"> both FR1-like and FR2-like are marked as possible in FR3. It is inefficient to take too much time on this topic.</w:t>
      </w:r>
    </w:p>
    <w:p w14:paraId="299361D5" w14:textId="77777777" w:rsidR="00E12ABB" w:rsidRDefault="00E12ABB" w:rsidP="008834E4">
      <w:pPr>
        <w:rPr>
          <w:rFonts w:ascii="Times New Roman" w:hAnsi="Times New Roman" w:cs="Times New Roman"/>
        </w:rPr>
      </w:pPr>
    </w:p>
    <w:p w14:paraId="6431C40A" w14:textId="7B58A032" w:rsidR="002919B2" w:rsidRPr="00E12ABB" w:rsidRDefault="00E12ABB" w:rsidP="008834E4">
      <w:pPr>
        <w:rPr>
          <w:rFonts w:ascii="Times New Roman" w:hAnsi="Times New Roman" w:cs="Times New Roman"/>
          <w:b/>
          <w:bCs/>
        </w:rPr>
      </w:pPr>
      <w:r w:rsidRPr="00E12ABB">
        <w:rPr>
          <w:rFonts w:ascii="Times New Roman" w:hAnsi="Times New Roman" w:cs="Times New Roman"/>
          <w:b/>
          <w:bCs/>
        </w:rPr>
        <w:t>O</w:t>
      </w:r>
      <w:r w:rsidRPr="00E12ABB">
        <w:rPr>
          <w:rFonts w:ascii="Times New Roman" w:hAnsi="Times New Roman" w:cs="Times New Roman" w:hint="eastAsia"/>
          <w:b/>
          <w:bCs/>
        </w:rPr>
        <w:t xml:space="preserve">bservation 1: It is inefficient to try to down-selection from different UE form factor since there no </w:t>
      </w:r>
      <w:r w:rsidRPr="00E12ABB">
        <w:rPr>
          <w:rFonts w:ascii="Times New Roman" w:hAnsi="Times New Roman" w:cs="Times New Roman"/>
          <w:b/>
          <w:bCs/>
        </w:rPr>
        <w:t>commercial</w:t>
      </w:r>
      <w:r w:rsidRPr="00E12ABB">
        <w:rPr>
          <w:rFonts w:ascii="Times New Roman" w:hAnsi="Times New Roman" w:cs="Times New Roman" w:hint="eastAsia"/>
          <w:b/>
          <w:bCs/>
        </w:rPr>
        <w:t xml:space="preserve"> UE is designed in this new frequency range at this stage.     </w:t>
      </w:r>
    </w:p>
    <w:p w14:paraId="2AAC4C11" w14:textId="77777777" w:rsidR="002919B2" w:rsidRDefault="002919B2" w:rsidP="008834E4">
      <w:pPr>
        <w:rPr>
          <w:rFonts w:ascii="Times New Roman" w:hAnsi="Times New Roman" w:cs="Times New Roman"/>
        </w:rPr>
      </w:pPr>
    </w:p>
    <w:p w14:paraId="1F4A581D" w14:textId="60D792E9" w:rsidR="00E12ABB" w:rsidRDefault="00E12ABB" w:rsidP="008834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save effort, we prefer keep the door open and provide two set of </w:t>
      </w:r>
      <w:r>
        <w:rPr>
          <w:rFonts w:ascii="Times New Roman" w:hAnsi="Times New Roman" w:cs="Times New Roman"/>
        </w:rPr>
        <w:t>parameters</w:t>
      </w:r>
      <w:r>
        <w:rPr>
          <w:rFonts w:ascii="Times New Roman" w:hAnsi="Times New Roman" w:cs="Times New Roman" w:hint="eastAsia"/>
        </w:rPr>
        <w:t xml:space="preserve"> in the LS</w:t>
      </w:r>
    </w:p>
    <w:p w14:paraId="0988E81B" w14:textId="77777777" w:rsidR="00E12ABB" w:rsidRPr="00E12ABB" w:rsidRDefault="00E12ABB" w:rsidP="008834E4">
      <w:pPr>
        <w:rPr>
          <w:rFonts w:ascii="Times New Roman" w:hAnsi="Times New Roman" w:cs="Times New Roman"/>
        </w:rPr>
      </w:pPr>
    </w:p>
    <w:p w14:paraId="2191EC1C" w14:textId="50FAFCA2" w:rsidR="002919B2" w:rsidRPr="00C53E24" w:rsidRDefault="002919B2" w:rsidP="008834E4">
      <w:pPr>
        <w:rPr>
          <w:rFonts w:ascii="Times New Roman" w:hAnsi="Times New Roman" w:cs="Times New Roman"/>
          <w:b/>
          <w:bCs/>
        </w:rPr>
      </w:pPr>
      <w:r w:rsidRPr="00C53E24">
        <w:rPr>
          <w:rFonts w:ascii="Times New Roman" w:hAnsi="Times New Roman" w:cs="Times New Roman"/>
          <w:b/>
          <w:bCs/>
        </w:rPr>
        <w:t>P</w:t>
      </w:r>
      <w:r w:rsidRPr="00C53E24">
        <w:rPr>
          <w:rFonts w:ascii="Times New Roman" w:hAnsi="Times New Roman" w:cs="Times New Roman" w:hint="eastAsia"/>
          <w:b/>
          <w:bCs/>
        </w:rPr>
        <w:t xml:space="preserve">roposal </w:t>
      </w:r>
      <w:r w:rsidR="00BB58AF">
        <w:rPr>
          <w:rFonts w:ascii="Times New Roman" w:hAnsi="Times New Roman" w:cs="Times New Roman" w:hint="eastAsia"/>
          <w:b/>
          <w:bCs/>
        </w:rPr>
        <w:t>2</w:t>
      </w:r>
      <w:r w:rsidR="00C53E24" w:rsidRPr="00C53E24">
        <w:rPr>
          <w:rFonts w:ascii="Times New Roman" w:hAnsi="Times New Roman" w:cs="Times New Roman" w:hint="eastAsia"/>
          <w:b/>
          <w:bCs/>
        </w:rPr>
        <w:t xml:space="preserve">: </w:t>
      </w:r>
      <w:r w:rsidR="00E12ABB">
        <w:rPr>
          <w:rFonts w:ascii="Times New Roman" w:hAnsi="Times New Roman" w:cs="Times New Roman" w:hint="eastAsia"/>
          <w:b/>
          <w:bCs/>
        </w:rPr>
        <w:t xml:space="preserve">The UE parameters for both FR1-like and FR2-like are provided in the </w:t>
      </w:r>
      <w:r w:rsidR="00BB58AF">
        <w:rPr>
          <w:rFonts w:ascii="Times New Roman" w:hAnsi="Times New Roman" w:cs="Times New Roman" w:hint="eastAsia"/>
          <w:b/>
          <w:bCs/>
        </w:rPr>
        <w:t xml:space="preserve">reply </w:t>
      </w:r>
      <w:r w:rsidR="00E12ABB">
        <w:rPr>
          <w:rFonts w:ascii="Times New Roman" w:hAnsi="Times New Roman" w:cs="Times New Roman" w:hint="eastAsia"/>
          <w:b/>
          <w:bCs/>
        </w:rPr>
        <w:t>LS</w:t>
      </w:r>
      <w:r w:rsidR="00BB58AF">
        <w:rPr>
          <w:rFonts w:ascii="Times New Roman" w:hAnsi="Times New Roman" w:cs="Times New Roman" w:hint="eastAsia"/>
          <w:b/>
          <w:bCs/>
        </w:rPr>
        <w:t xml:space="preserve"> for 14800-15300MHz</w:t>
      </w:r>
      <w:r w:rsidR="00C53E24" w:rsidRPr="00C53E24">
        <w:rPr>
          <w:rFonts w:ascii="Times New Roman" w:hAnsi="Times New Roman" w:cs="Times New Roman" w:hint="eastAsia"/>
          <w:b/>
          <w:bCs/>
        </w:rPr>
        <w:t>.</w:t>
      </w:r>
    </w:p>
    <w:p w14:paraId="40EC51C8" w14:textId="005F8E44" w:rsidR="00E76234" w:rsidRPr="00E76234" w:rsidRDefault="00E76234" w:rsidP="00E76234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 w:hint="eastAsia"/>
          <w:b/>
          <w:bCs/>
        </w:rPr>
        <w:t xml:space="preserve"> 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6639FA91" w14:textId="44F0A7CB" w:rsidR="004F509B" w:rsidRDefault="004F509B" w:rsidP="004F509B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E76234">
        <w:rPr>
          <w:rFonts w:ascii="Times New Roman" w:hAnsi="Times New Roman" w:cs="Times New Roman" w:hint="eastAsia"/>
          <w:b/>
          <w:bCs/>
        </w:rPr>
        <w:t xml:space="preserve">: </w:t>
      </w:r>
      <w:r w:rsidRPr="004F509B">
        <w:rPr>
          <w:rFonts w:ascii="Times New Roman" w:hAnsi="Times New Roman" w:cs="Times New Roman" w:hint="eastAsia"/>
        </w:rPr>
        <w:t xml:space="preserve">200MHz is used as typical channel bandwidth for </w:t>
      </w:r>
      <w:r w:rsidRPr="004F509B">
        <w:rPr>
          <w:rFonts w:ascii="Times New Roman" w:hAnsi="Times New Roman" w:cs="Times New Roman"/>
        </w:rPr>
        <w:t>14800 to 15350 MHz</w:t>
      </w:r>
      <w:r w:rsidRPr="004F509B">
        <w:rPr>
          <w:rFonts w:ascii="Times New Roman" w:hAnsi="Times New Roman" w:cs="Times New Roman" w:hint="eastAsia"/>
        </w:rPr>
        <w:t xml:space="preserve"> in the LS.</w:t>
      </w:r>
      <w:r w:rsidRPr="00E76234">
        <w:rPr>
          <w:rFonts w:ascii="Times New Roman" w:hAnsi="Times New Roman" w:cs="Times New Roman" w:hint="eastAsia"/>
          <w:b/>
          <w:bCs/>
        </w:rPr>
        <w:t xml:space="preserve"> </w:t>
      </w:r>
    </w:p>
    <w:p w14:paraId="4B96B952" w14:textId="77777777" w:rsidR="004F509B" w:rsidRDefault="004F509B" w:rsidP="004F509B">
      <w:pPr>
        <w:rPr>
          <w:rFonts w:ascii="Times New Roman" w:hAnsi="Times New Roman" w:cs="Times New Roman"/>
          <w:b/>
          <w:bCs/>
        </w:rPr>
      </w:pPr>
    </w:p>
    <w:p w14:paraId="533D02FD" w14:textId="77777777" w:rsidR="004F509B" w:rsidRDefault="004F509B" w:rsidP="004F509B">
      <w:pPr>
        <w:rPr>
          <w:rFonts w:ascii="Times New Roman" w:hAnsi="Times New Roman" w:cs="Times New Roman"/>
          <w:b/>
          <w:bCs/>
        </w:rPr>
      </w:pPr>
      <w:r w:rsidRPr="00E12ABB">
        <w:rPr>
          <w:rFonts w:ascii="Times New Roman" w:hAnsi="Times New Roman" w:cs="Times New Roman"/>
          <w:b/>
          <w:bCs/>
        </w:rPr>
        <w:t>O</w:t>
      </w:r>
      <w:r w:rsidRPr="00E12ABB">
        <w:rPr>
          <w:rFonts w:ascii="Times New Roman" w:hAnsi="Times New Roman" w:cs="Times New Roman" w:hint="eastAsia"/>
          <w:b/>
          <w:bCs/>
        </w:rPr>
        <w:t xml:space="preserve">bservation 1: </w:t>
      </w:r>
      <w:r w:rsidRPr="004F509B">
        <w:rPr>
          <w:rFonts w:ascii="Times New Roman" w:hAnsi="Times New Roman" w:cs="Times New Roman" w:hint="eastAsia"/>
        </w:rPr>
        <w:t xml:space="preserve">It is inefficient to try to down-selection from different UE form factor since there no </w:t>
      </w:r>
      <w:r w:rsidRPr="004F509B">
        <w:rPr>
          <w:rFonts w:ascii="Times New Roman" w:hAnsi="Times New Roman" w:cs="Times New Roman"/>
        </w:rPr>
        <w:t>commercial</w:t>
      </w:r>
      <w:r w:rsidRPr="004F509B">
        <w:rPr>
          <w:rFonts w:ascii="Times New Roman" w:hAnsi="Times New Roman" w:cs="Times New Roman" w:hint="eastAsia"/>
        </w:rPr>
        <w:t xml:space="preserve"> UE is designed in this new frequency range at this stage. </w:t>
      </w:r>
      <w:r w:rsidRPr="00E12ABB">
        <w:rPr>
          <w:rFonts w:ascii="Times New Roman" w:hAnsi="Times New Roman" w:cs="Times New Roman" w:hint="eastAsia"/>
          <w:b/>
          <w:bCs/>
        </w:rPr>
        <w:t xml:space="preserve">   </w:t>
      </w:r>
    </w:p>
    <w:p w14:paraId="594E7CEB" w14:textId="70504A3D" w:rsidR="004F509B" w:rsidRPr="00E12ABB" w:rsidRDefault="004F509B" w:rsidP="004F509B">
      <w:pPr>
        <w:rPr>
          <w:rFonts w:ascii="Times New Roman" w:hAnsi="Times New Roman" w:cs="Times New Roman"/>
          <w:b/>
          <w:bCs/>
        </w:rPr>
      </w:pPr>
      <w:r w:rsidRPr="00E12ABB">
        <w:rPr>
          <w:rFonts w:ascii="Times New Roman" w:hAnsi="Times New Roman" w:cs="Times New Roman" w:hint="eastAsia"/>
          <w:b/>
          <w:bCs/>
        </w:rPr>
        <w:t xml:space="preserve"> </w:t>
      </w:r>
    </w:p>
    <w:p w14:paraId="331B20F5" w14:textId="77777777" w:rsidR="004F509B" w:rsidRPr="004F509B" w:rsidRDefault="004F509B" w:rsidP="004F509B">
      <w:pPr>
        <w:rPr>
          <w:rFonts w:ascii="Times New Roman" w:hAnsi="Times New Roman" w:cs="Times New Roman"/>
        </w:rPr>
      </w:pPr>
      <w:r w:rsidRPr="00C53E24">
        <w:rPr>
          <w:rFonts w:ascii="Times New Roman" w:hAnsi="Times New Roman" w:cs="Times New Roman"/>
          <w:b/>
          <w:bCs/>
        </w:rPr>
        <w:t>P</w:t>
      </w:r>
      <w:r w:rsidRPr="00C53E2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C53E24">
        <w:rPr>
          <w:rFonts w:ascii="Times New Roman" w:hAnsi="Times New Roman" w:cs="Times New Roman" w:hint="eastAsia"/>
          <w:b/>
          <w:bCs/>
        </w:rPr>
        <w:t xml:space="preserve">: </w:t>
      </w:r>
      <w:r w:rsidRPr="004F509B">
        <w:rPr>
          <w:rFonts w:ascii="Times New Roman" w:hAnsi="Times New Roman" w:cs="Times New Roman" w:hint="eastAsia"/>
        </w:rPr>
        <w:t>The UE parameters for both FR1-like and FR2-like are provided in the reply LS for 14800-15300MHz.</w:t>
      </w:r>
    </w:p>
    <w:p w14:paraId="66F52DB8" w14:textId="32CC2BD3" w:rsidR="00840476" w:rsidRPr="004F509B" w:rsidRDefault="00840476" w:rsidP="00E76234">
      <w:pPr>
        <w:rPr>
          <w:rFonts w:ascii="Times New Roman" w:hAnsi="Times New Roman" w:cs="Times New Roman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E2880F2" w14:textId="77777777" w:rsidR="00BB58AF" w:rsidRDefault="00BB58AF" w:rsidP="00BB58A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R4-2410741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WF on IMT parameter study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D5053">
        <w:rPr>
          <w:rFonts w:ascii="Times New Roman" w:eastAsia="等线" w:hAnsi="Times New Roman" w:cs="Times New Roman"/>
          <w:kern w:val="0"/>
          <w:sz w:val="20"/>
          <w:szCs w:val="20"/>
        </w:rPr>
        <w:t>Ericsson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RAN4#111</w:t>
      </w:r>
      <w:r w:rsidRPr="00CD505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p w14:paraId="57B47CA2" w14:textId="2EB0C2A8" w:rsidR="00F12308" w:rsidRDefault="00F12308" w:rsidP="00BB58A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2F39C48" w14:textId="5E01852C" w:rsidR="00DB2092" w:rsidRPr="0034643E" w:rsidRDefault="00DB2092" w:rsidP="00BB58A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34643E" w:rsidSect="0079309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391D0" w14:textId="77777777" w:rsidR="001440A5" w:rsidRDefault="001440A5" w:rsidP="0040353F">
      <w:r>
        <w:separator/>
      </w:r>
    </w:p>
  </w:endnote>
  <w:endnote w:type="continuationSeparator" w:id="0">
    <w:p w14:paraId="2BAE828A" w14:textId="77777777" w:rsidR="001440A5" w:rsidRDefault="001440A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8DAD9" w14:textId="77777777" w:rsidR="001440A5" w:rsidRDefault="001440A5" w:rsidP="0040353F">
      <w:r>
        <w:separator/>
      </w:r>
    </w:p>
  </w:footnote>
  <w:footnote w:type="continuationSeparator" w:id="0">
    <w:p w14:paraId="4F463C21" w14:textId="77777777" w:rsidR="001440A5" w:rsidRDefault="001440A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hybridMultilevel"/>
    <w:tmpl w:val="92A8CB1A"/>
    <w:lvl w:ilvl="0" w:tplc="41E2D8D4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6"/>
  </w:num>
  <w:num w:numId="22" w16cid:durableId="1504051476">
    <w:abstractNumId w:val="0"/>
  </w:num>
  <w:num w:numId="23" w16cid:durableId="5486859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A24F2"/>
    <w:rsid w:val="000C0694"/>
    <w:rsid w:val="000F3B36"/>
    <w:rsid w:val="00107A66"/>
    <w:rsid w:val="00127DEF"/>
    <w:rsid w:val="00134AB1"/>
    <w:rsid w:val="00134F49"/>
    <w:rsid w:val="001440A5"/>
    <w:rsid w:val="00157209"/>
    <w:rsid w:val="00175B9A"/>
    <w:rsid w:val="001A5AE8"/>
    <w:rsid w:val="001E21B3"/>
    <w:rsid w:val="00202598"/>
    <w:rsid w:val="00204294"/>
    <w:rsid w:val="00224422"/>
    <w:rsid w:val="00232EC5"/>
    <w:rsid w:val="0025696B"/>
    <w:rsid w:val="00267A27"/>
    <w:rsid w:val="00277EAC"/>
    <w:rsid w:val="002919B2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4F509B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67E3"/>
    <w:rsid w:val="0097230B"/>
    <w:rsid w:val="00991D66"/>
    <w:rsid w:val="009B5A92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4C49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BB58AF"/>
    <w:rsid w:val="00C000FB"/>
    <w:rsid w:val="00C138D3"/>
    <w:rsid w:val="00C25011"/>
    <w:rsid w:val="00C315FF"/>
    <w:rsid w:val="00C50998"/>
    <w:rsid w:val="00C53E24"/>
    <w:rsid w:val="00C636B7"/>
    <w:rsid w:val="00C72E91"/>
    <w:rsid w:val="00C732DB"/>
    <w:rsid w:val="00C768C8"/>
    <w:rsid w:val="00C8304C"/>
    <w:rsid w:val="00CB59D3"/>
    <w:rsid w:val="00CD17F7"/>
    <w:rsid w:val="00CD4B03"/>
    <w:rsid w:val="00CF59AC"/>
    <w:rsid w:val="00D3057B"/>
    <w:rsid w:val="00D30F97"/>
    <w:rsid w:val="00D47778"/>
    <w:rsid w:val="00D709C1"/>
    <w:rsid w:val="00D76D9F"/>
    <w:rsid w:val="00D8281A"/>
    <w:rsid w:val="00DB0C01"/>
    <w:rsid w:val="00DB2092"/>
    <w:rsid w:val="00DF5A34"/>
    <w:rsid w:val="00E12ABB"/>
    <w:rsid w:val="00E1446C"/>
    <w:rsid w:val="00E14D9E"/>
    <w:rsid w:val="00E16988"/>
    <w:rsid w:val="00E22200"/>
    <w:rsid w:val="00E23C0A"/>
    <w:rsid w:val="00E421E0"/>
    <w:rsid w:val="00E45D21"/>
    <w:rsid w:val="00E46B30"/>
    <w:rsid w:val="00E617EF"/>
    <w:rsid w:val="00E76234"/>
    <w:rsid w:val="00E933A8"/>
    <w:rsid w:val="00EC3993"/>
    <w:rsid w:val="00EC6756"/>
    <w:rsid w:val="00F12308"/>
    <w:rsid w:val="00F3572F"/>
    <w:rsid w:val="00F43AC7"/>
    <w:rsid w:val="00F53E52"/>
    <w:rsid w:val="00F71C9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13</cp:revision>
  <dcterms:created xsi:type="dcterms:W3CDTF">2021-01-15T21:06:00Z</dcterms:created>
  <dcterms:modified xsi:type="dcterms:W3CDTF">2024-08-09T15:46:00Z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